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1B0" w:rsidRPr="005903F7" w:rsidRDefault="009E11B0" w:rsidP="001B1EFD">
      <w:pPr>
        <w:spacing w:line="600" w:lineRule="exact"/>
        <w:ind w:left="566" w:hangingChars="202" w:hanging="566"/>
        <w:rPr>
          <w:rFonts w:ascii="Times New Roman" w:eastAsia="標楷體" w:hAnsi="Times New Roman" w:cs="Times New Roman"/>
          <w:sz w:val="28"/>
          <w:szCs w:val="28"/>
          <w:bdr w:val="single" w:sz="4" w:space="0" w:color="auto"/>
          <w:lang w:val="vi-VN"/>
        </w:rPr>
      </w:pPr>
      <w:r w:rsidRPr="005903F7">
        <w:rPr>
          <w:rFonts w:ascii="Times New Roman" w:eastAsia="標楷體" w:hAnsi="Times New Roman" w:cs="Times New Roman"/>
          <w:sz w:val="28"/>
          <w:szCs w:val="28"/>
          <w:bdr w:val="single" w:sz="4" w:space="0" w:color="auto"/>
        </w:rPr>
        <w:t>Phí môi gi</w:t>
      </w:r>
      <w:r w:rsidRPr="005903F7">
        <w:rPr>
          <w:rFonts w:ascii="Times New Roman" w:eastAsia="標楷體" w:hAnsi="Times New Roman" w:cs="Times New Roman"/>
          <w:sz w:val="28"/>
          <w:szCs w:val="28"/>
          <w:bdr w:val="single" w:sz="4" w:space="0" w:color="auto"/>
          <w:lang w:val="vi-VN"/>
        </w:rPr>
        <w:t>ới nước ngoài</w:t>
      </w:r>
    </w:p>
    <w:p w:rsidR="009E11B0" w:rsidRPr="0055700A" w:rsidRDefault="009E11B0" w:rsidP="009E11B0">
      <w:pPr>
        <w:spacing w:line="600" w:lineRule="exact"/>
        <w:rPr>
          <w:rFonts w:ascii="Times New Roman" w:eastAsia="標楷體" w:hAnsi="Times New Roman" w:cs="Times New Roman"/>
          <w:sz w:val="28"/>
          <w:szCs w:val="28"/>
          <w:lang w:val="vi-VN"/>
        </w:rPr>
      </w:pPr>
      <w:r w:rsidRPr="0055700A">
        <w:rPr>
          <w:rFonts w:ascii="Times New Roman" w:eastAsia="標楷體" w:hAnsi="Times New Roman" w:cs="Times New Roman"/>
          <w:sz w:val="28"/>
          <w:szCs w:val="28"/>
          <w:lang w:val="vi-VN"/>
        </w:rPr>
        <w:t>I. Đa số lao động người nước ngoài đều thông qua Công ty Môi giới nước ngoài giới thiệu sang Đài Loan làm việc, do đó phát sinh phí môi giới nước ngoài, mà phí môi giới nước ngoài và chi phí có liên quan cần thiết khi sang Đài Loan làm việc (như phí kiểm tra sức khỏe, phí huấn luyện, phí hộ chiếu, phí visa, phí vé máy bay và lệ phí hành chính v.v…) thông thường cần phải thanh toán bằng phương thức vay và cho vay.</w:t>
      </w:r>
    </w:p>
    <w:p w:rsidR="009E11B0" w:rsidRPr="0015772F" w:rsidRDefault="009E11B0" w:rsidP="0015772F">
      <w:pPr>
        <w:spacing w:line="600" w:lineRule="exact"/>
        <w:rPr>
          <w:rFonts w:ascii="Times New Roman" w:eastAsia="標楷體" w:hAnsi="Times New Roman" w:cs="Times New Roman"/>
          <w:sz w:val="28"/>
          <w:szCs w:val="28"/>
          <w:lang w:val="vi-VN"/>
        </w:rPr>
      </w:pPr>
      <w:r w:rsidRPr="0055700A">
        <w:rPr>
          <w:rFonts w:ascii="Times New Roman" w:eastAsia="標楷體" w:hAnsi="Times New Roman" w:cs="Times New Roman"/>
          <w:sz w:val="28"/>
          <w:szCs w:val="28"/>
          <w:lang w:val="vi-VN"/>
        </w:rPr>
        <w:t xml:space="preserve">II. Lại nữa, phí môi giới nước ngoài do quốc gia xuất khẩu lao động quy định và </w:t>
      </w:r>
      <w:r w:rsidRPr="0015772F">
        <w:rPr>
          <w:rFonts w:ascii="Times New Roman" w:eastAsia="標楷體" w:hAnsi="Times New Roman" w:cs="Times New Roman"/>
          <w:sz w:val="28"/>
          <w:szCs w:val="28"/>
          <w:lang w:val="vi-VN"/>
        </w:rPr>
        <w:t>quả</w:t>
      </w:r>
      <w:bookmarkStart w:id="0" w:name="_GoBack"/>
      <w:bookmarkEnd w:id="0"/>
      <w:r w:rsidRPr="0015772F">
        <w:rPr>
          <w:rFonts w:ascii="Times New Roman" w:eastAsia="標楷體" w:hAnsi="Times New Roman" w:cs="Times New Roman"/>
          <w:sz w:val="28"/>
          <w:szCs w:val="28"/>
          <w:lang w:val="vi-VN"/>
        </w:rPr>
        <w:t>n</w:t>
      </w:r>
      <w:r w:rsidRPr="0055700A">
        <w:rPr>
          <w:rFonts w:ascii="Times New Roman" w:eastAsia="標楷體" w:hAnsi="Times New Roman" w:cs="Times New Roman"/>
          <w:sz w:val="28"/>
          <w:szCs w:val="28"/>
          <w:lang w:val="vi-VN"/>
        </w:rPr>
        <w:t xml:space="preserve"> lý dựa theo điều kiện lao động của các quốc gia xuất khẩu lao động khác. </w:t>
      </w:r>
      <w:r w:rsidRPr="0015772F">
        <w:rPr>
          <w:rFonts w:ascii="Times New Roman" w:eastAsia="標楷體" w:hAnsi="Times New Roman" w:cs="Times New Roman"/>
          <w:sz w:val="28"/>
          <w:szCs w:val="28"/>
          <w:lang w:val="vi-VN"/>
        </w:rPr>
        <w:t>Đài Loan đã khuyến nghị với các quốc gia xuất khẩu lao động về phí môi giới nước ngoài giới hạn tối đa là tiền lương 1 tháng tại Đài Loan của lao động người nước ngoài, và kiến nghị giảm lãi suất vay tiền của lao động người ngoài tại nước ngoài, để tránh gây gánh nặng kinh tế cho lao động người nước ngoài.</w:t>
      </w:r>
    </w:p>
    <w:p w:rsidR="009E11B0" w:rsidRPr="0015772F" w:rsidRDefault="009E11B0" w:rsidP="009E11B0">
      <w:pPr>
        <w:spacing w:line="600" w:lineRule="exact"/>
        <w:rPr>
          <w:rFonts w:ascii="Times New Roman" w:eastAsia="標楷體" w:hAnsi="Times New Roman" w:cs="Times New Roman"/>
          <w:sz w:val="28"/>
          <w:szCs w:val="28"/>
          <w:lang w:val="vi-VN"/>
        </w:rPr>
      </w:pPr>
      <w:r w:rsidRPr="0015772F">
        <w:rPr>
          <w:rFonts w:ascii="Times New Roman" w:eastAsia="標楷體" w:hAnsi="Times New Roman" w:cs="Times New Roman"/>
          <w:sz w:val="28"/>
          <w:szCs w:val="28"/>
          <w:lang w:val="vi-VN"/>
        </w:rPr>
        <w:t xml:space="preserve">III. Để phí môi giới nước ngoài và các hạng mục chi phí có liên quan mà lao động người nước ngoài phải nộp trước khi sang Đài Loan làm việc được tiêu chuẩn công khai minh bạch, và tránh tình trạng bị bóc lột bất đang trước khi sang Đài Loan, các chi phí mà lao động người nước ngoài vay </w:t>
      </w:r>
      <w:r w:rsidR="005903F7" w:rsidRPr="0015772F">
        <w:rPr>
          <w:rFonts w:ascii="Times New Roman" w:eastAsia="標楷體" w:hAnsi="Times New Roman" w:cs="Times New Roman"/>
          <w:sz w:val="28"/>
          <w:szCs w:val="28"/>
          <w:lang w:val="vi-VN"/>
        </w:rPr>
        <w:t xml:space="preserve">nợ trước khi sang Đài Loan phải được ghi trên “Bản cam kết chi phí làm việc và tiền lương cho người nước ngoài sang Đài Loan làm việc”. Đài Loan tiếp tục thông qua mở cuộc họp Hội nghị hợp tác lao động song phương định kỳ, yêu cầu các quốc gia xuất khẩu lao động tăng cường quản lý phí môi giới nước ngoài và các chi phí có liên quan của lao động </w:t>
      </w:r>
      <w:r w:rsidR="005903F7" w:rsidRPr="0015772F">
        <w:rPr>
          <w:rFonts w:ascii="Times New Roman" w:eastAsia="標楷體" w:hAnsi="Times New Roman" w:cs="Times New Roman"/>
          <w:sz w:val="28"/>
          <w:szCs w:val="28"/>
          <w:lang w:val="vi-VN"/>
        </w:rPr>
        <w:lastRenderedPageBreak/>
        <w:t>người nước ngoài, và quy định rõ ràng các hạng mục chi phí liên quan cũng như tiêu chuẩn về số tiền phải nộp của lao động người nước ngoài, ngoài ra, yêu cầu các quốc gia xuất khẩu lao động tăng cường kiểm tra rà soát các Công ty Môi giới nước ngoài, để bảo vệ quyền lợi cho lao động người nước ngoài.</w:t>
      </w:r>
    </w:p>
    <w:p w:rsidR="009E11B0" w:rsidRPr="0015772F" w:rsidRDefault="009E11B0" w:rsidP="009E11B0">
      <w:pPr>
        <w:spacing w:line="600" w:lineRule="exact"/>
        <w:ind w:left="566" w:hangingChars="202" w:hanging="566"/>
        <w:rPr>
          <w:rFonts w:ascii="Times New Roman" w:eastAsia="標楷體" w:hAnsi="Times New Roman" w:cs="Times New Roman"/>
          <w:sz w:val="28"/>
          <w:szCs w:val="28"/>
          <w:bdr w:val="single" w:sz="4" w:space="0" w:color="auto"/>
          <w:lang w:val="vi-VN"/>
        </w:rPr>
      </w:pPr>
      <w:r w:rsidRPr="0015772F">
        <w:rPr>
          <w:rFonts w:ascii="Times New Roman" w:eastAsia="標楷體" w:hAnsi="Times New Roman" w:cs="Times New Roman"/>
          <w:sz w:val="28"/>
          <w:szCs w:val="28"/>
          <w:bdr w:val="single" w:sz="4" w:space="0" w:color="auto"/>
          <w:lang w:val="vi-VN"/>
        </w:rPr>
        <w:t>Phí dịch vụ trong nước</w:t>
      </w:r>
    </w:p>
    <w:p w:rsidR="009E11B0" w:rsidRPr="0015772F" w:rsidRDefault="009E11B0" w:rsidP="005903F7">
      <w:pPr>
        <w:spacing w:line="600" w:lineRule="exact"/>
        <w:rPr>
          <w:rFonts w:ascii="Times New Roman" w:eastAsia="標楷體" w:hAnsi="Times New Roman" w:cs="Times New Roman"/>
          <w:sz w:val="28"/>
          <w:szCs w:val="28"/>
          <w:lang w:val="vi-VN"/>
        </w:rPr>
      </w:pPr>
      <w:r w:rsidRPr="0015772F">
        <w:rPr>
          <w:rFonts w:ascii="Times New Roman" w:eastAsia="標楷體" w:hAnsi="Times New Roman" w:cs="Times New Roman"/>
          <w:sz w:val="28"/>
          <w:szCs w:val="28"/>
          <w:lang w:val="vi-VN"/>
        </w:rPr>
        <w:t xml:space="preserve">I. </w:t>
      </w:r>
      <w:r w:rsidR="005903F7" w:rsidRPr="0015772F">
        <w:rPr>
          <w:rFonts w:ascii="Times New Roman" w:eastAsia="標楷體" w:hAnsi="Times New Roman" w:cs="Times New Roman"/>
          <w:sz w:val="28"/>
          <w:szCs w:val="28"/>
          <w:lang w:val="vi-VN"/>
        </w:rPr>
        <w:t>Để tránh các Công ty Môi giới Nhân lực trong nước thu chi phí cao, Bộ chúng tôi quy định Công ty Môi giới trong nước chỉ được thu “phí dịch vụ” đối với lao động người nước ngoài, hơn nữa, cần phải có các mục dịch vụ theo Hợp đồng dịch vụ, thì mới được thu phí, và không được thu trước, đồng thời năm thứ nhất, năm thứ hai và năm thứ ba mỗi tháng không được thu quá 1.800 Đài tệ, 1.700 Đài tệ và 1.500 Đài tệ theo thời hạn tích lũy làm việc tại Đài Loan sau khi người nước ngoài nhập cảnh lần đó, và được Chính quyền các huyện thị thăm hỏi kiểm tra tình hình thu phí của lao động người nước ngoài; nếu phát hiện Công ty Môi giới trong nước thu phí ngoài tiêu chuẩn quy định, sẽ phạt tiền hành chính gấp 10 đến 20 lần chi phí hoặc số tiền tương đương theo tiêu chuẩn theo quy định thu phí của Công ty Môi giới trong nước và chấm dứt kinh doanh. Để tránh lao động người nước ngoài bị Cơ sở Môi giới trong nước bóc lột.</w:t>
      </w:r>
    </w:p>
    <w:p w:rsidR="009E11B0" w:rsidRPr="0015772F" w:rsidRDefault="009E11B0" w:rsidP="005903F7">
      <w:pPr>
        <w:spacing w:line="600" w:lineRule="exact"/>
        <w:rPr>
          <w:rFonts w:ascii="Times New Roman" w:eastAsia="標楷體" w:hAnsi="Times New Roman" w:cs="Times New Roman"/>
          <w:sz w:val="28"/>
          <w:szCs w:val="28"/>
          <w:lang w:val="vi-VN"/>
        </w:rPr>
      </w:pPr>
      <w:r w:rsidRPr="0015772F">
        <w:rPr>
          <w:rFonts w:ascii="Times New Roman" w:eastAsia="標楷體" w:hAnsi="Times New Roman" w:cs="Times New Roman"/>
          <w:sz w:val="28"/>
          <w:szCs w:val="28"/>
          <w:lang w:val="vi-VN"/>
        </w:rPr>
        <w:t xml:space="preserve">II. </w:t>
      </w:r>
      <w:r w:rsidR="005903F7" w:rsidRPr="0015772F">
        <w:rPr>
          <w:rFonts w:ascii="Times New Roman" w:eastAsia="標楷體" w:hAnsi="Times New Roman" w:cs="Times New Roman"/>
          <w:sz w:val="28"/>
          <w:szCs w:val="28"/>
          <w:lang w:val="vi-VN"/>
        </w:rPr>
        <w:t xml:space="preserve">Ngoài ra, cung cấp liên kết quy định pháp luật có liên quan như sau </w:t>
      </w:r>
      <w:hyperlink r:id="rId7" w:history="1">
        <w:r w:rsidR="005903F7" w:rsidRPr="0015772F">
          <w:rPr>
            <w:rStyle w:val="a8"/>
            <w:rFonts w:ascii="Times New Roman" w:eastAsia="標楷體" w:hAnsi="Times New Roman" w:cs="Times New Roman"/>
            <w:sz w:val="28"/>
            <w:szCs w:val="28"/>
            <w:lang w:val="vi-VN"/>
          </w:rPr>
          <w:t>http://law.moj.gov.tw/LawClass/LawContent.aspx?PCODE=N0090028</w:t>
        </w:r>
      </w:hyperlink>
    </w:p>
    <w:sectPr w:rsidR="009E11B0" w:rsidRPr="001577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DEB" w:rsidRDefault="001B0DEB" w:rsidP="001D6647">
      <w:r>
        <w:separator/>
      </w:r>
    </w:p>
  </w:endnote>
  <w:endnote w:type="continuationSeparator" w:id="0">
    <w:p w:rsidR="001B0DEB" w:rsidRDefault="001B0DEB" w:rsidP="001D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DEB" w:rsidRDefault="001B0DEB" w:rsidP="001D6647">
      <w:r>
        <w:separator/>
      </w:r>
    </w:p>
  </w:footnote>
  <w:footnote w:type="continuationSeparator" w:id="0">
    <w:p w:rsidR="001B0DEB" w:rsidRDefault="001B0DEB" w:rsidP="001D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B7DF8"/>
    <w:multiLevelType w:val="hybridMultilevel"/>
    <w:tmpl w:val="7982F11C"/>
    <w:lvl w:ilvl="0" w:tplc="8A86CC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99419F"/>
    <w:multiLevelType w:val="hybridMultilevel"/>
    <w:tmpl w:val="4D1EE1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DBB47EB"/>
    <w:multiLevelType w:val="hybridMultilevel"/>
    <w:tmpl w:val="6E285E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D7"/>
    <w:rsid w:val="0015772F"/>
    <w:rsid w:val="00190BCB"/>
    <w:rsid w:val="001B0DEB"/>
    <w:rsid w:val="001B1EFD"/>
    <w:rsid w:val="001D6647"/>
    <w:rsid w:val="004C28AB"/>
    <w:rsid w:val="0055700A"/>
    <w:rsid w:val="00574CD7"/>
    <w:rsid w:val="005903F7"/>
    <w:rsid w:val="005D4779"/>
    <w:rsid w:val="0066751E"/>
    <w:rsid w:val="007B1272"/>
    <w:rsid w:val="009E11B0"/>
    <w:rsid w:val="00A70927"/>
    <w:rsid w:val="00BB38D5"/>
    <w:rsid w:val="00C0709D"/>
    <w:rsid w:val="00C654A4"/>
    <w:rsid w:val="00EC039F"/>
    <w:rsid w:val="00FC5BF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2BB6B43-5417-4380-A7E5-D43D28D3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1EFD"/>
    <w:pPr>
      <w:ind w:leftChars="200" w:left="480"/>
    </w:pPr>
  </w:style>
  <w:style w:type="paragraph" w:styleId="a4">
    <w:name w:val="header"/>
    <w:basedOn w:val="a"/>
    <w:link w:val="a5"/>
    <w:uiPriority w:val="99"/>
    <w:unhideWhenUsed/>
    <w:rsid w:val="001D6647"/>
    <w:pPr>
      <w:tabs>
        <w:tab w:val="center" w:pos="4153"/>
        <w:tab w:val="right" w:pos="8306"/>
      </w:tabs>
      <w:snapToGrid w:val="0"/>
    </w:pPr>
    <w:rPr>
      <w:sz w:val="20"/>
      <w:szCs w:val="20"/>
    </w:rPr>
  </w:style>
  <w:style w:type="character" w:customStyle="1" w:styleId="a5">
    <w:name w:val="頁首 字元"/>
    <w:basedOn w:val="a0"/>
    <w:link w:val="a4"/>
    <w:uiPriority w:val="99"/>
    <w:rsid w:val="001D6647"/>
    <w:rPr>
      <w:sz w:val="20"/>
      <w:szCs w:val="20"/>
    </w:rPr>
  </w:style>
  <w:style w:type="paragraph" w:styleId="a6">
    <w:name w:val="footer"/>
    <w:basedOn w:val="a"/>
    <w:link w:val="a7"/>
    <w:uiPriority w:val="99"/>
    <w:unhideWhenUsed/>
    <w:rsid w:val="001D6647"/>
    <w:pPr>
      <w:tabs>
        <w:tab w:val="center" w:pos="4153"/>
        <w:tab w:val="right" w:pos="8306"/>
      </w:tabs>
      <w:snapToGrid w:val="0"/>
    </w:pPr>
    <w:rPr>
      <w:sz w:val="20"/>
      <w:szCs w:val="20"/>
    </w:rPr>
  </w:style>
  <w:style w:type="character" w:customStyle="1" w:styleId="a7">
    <w:name w:val="頁尾 字元"/>
    <w:basedOn w:val="a0"/>
    <w:link w:val="a6"/>
    <w:uiPriority w:val="99"/>
    <w:rsid w:val="001D6647"/>
    <w:rPr>
      <w:sz w:val="20"/>
      <w:szCs w:val="20"/>
    </w:rPr>
  </w:style>
  <w:style w:type="character" w:styleId="a8">
    <w:name w:val="Hyperlink"/>
    <w:basedOn w:val="a0"/>
    <w:uiPriority w:val="99"/>
    <w:unhideWhenUsed/>
    <w:rsid w:val="009E11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moj.gov.tw/LawClass/LawContent.aspx?PCODE=N0090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chifang</dc:creator>
  <cp:keywords/>
  <dc:description/>
  <cp:lastModifiedBy>Ealine Lee</cp:lastModifiedBy>
  <cp:revision>7</cp:revision>
  <dcterms:created xsi:type="dcterms:W3CDTF">2017-09-05T02:44:00Z</dcterms:created>
  <dcterms:modified xsi:type="dcterms:W3CDTF">2022-11-15T06:53:00Z</dcterms:modified>
</cp:coreProperties>
</file>